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p14">
  <w:body>
    <w:p w14:paraId="58BB9C4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0684AA2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C03EAB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D503B5C" w14:textId="77777777" w:rsidP="000D6D1C" w:rsidR="000D6D1C" w:rsidRDefault="000D6D1C">
      <w:pPr>
        <w:spacing w:after="120" w:before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bookmarkStart w:id="0" w:name="_Toc56442937"/>
      <w:bookmarkStart w:id="1" w:name="_Toc56443217"/>
      <w:bookmarkStart w:id="2" w:name="_Toc24862"/>
      <w:r>
        <w:rPr>
          <w:rFonts w:ascii="仿宋_GB2312" w:hAnsi="Arial" w:hint="eastAsia"/>
          <w:b/>
          <w:sz w:val="44"/>
          <w:szCs w:val="44"/>
        </w:rPr>
        <w:t>财政项目支出绩效自评报告</w:t>
      </w:r>
      <w:bookmarkEnd w:id="0"/>
      <w:bookmarkEnd w:id="1"/>
      <w:bookmarkEnd w:id="2"/>
    </w:p>
    <w:p w14:paraId="7A01F9D5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38DA502C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2A428220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486CCCE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526BEA1B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1100DD89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Times New Roman" w:cs="Times New Roman" w:eastAsia="黑体" w:hAnsi="Times New Roman"/>
          <w:b/>
          <w:kern w:val="0"/>
          <w:sz w:val="50"/>
          <w:szCs w:val="50"/>
          <w:lang w:bidi="en-US"/>
        </w:rPr>
      </w:pPr>
    </w:p>
    <w:p w14:paraId="693F8E6F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0"/>
          <w:szCs w:val="30"/>
          <w:lang w:bidi="en-US"/>
        </w:rPr>
      </w:pPr>
    </w:p>
    <w:p w14:paraId="464824F8" w14:textId="365C2C1D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项目名称：办公运行维护费（含党建）</w:t>
      </w:r>
    </w:p>
    <w:p w14:paraId="58BF2678" w14:textId="77777777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项目单位：三门峡市残疾人联合会</w:t>
      </w:r>
    </w:p>
    <w:p w14:paraId="3833A468" w14:textId="2EEA63D9" w:rsidP="000D6D1C" w:rsidR="000D6D1C" w:rsidRDefault="000D6D1C">
      <w:pPr>
        <w:spacing w:line="480" w:lineRule="auto"/>
        <w:ind w:firstLine="1411" w:firstLineChars="441"/>
        <w:jc w:val="left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主管部门：三门峡残疾人联合会</w:t>
      </w:r>
    </w:p>
    <w:p w14:paraId="30370951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4A6D329B" w14:textId="77777777" w:rsidP="000D6D1C" w:rsidR="000D6D1C" w:rsidRDefault="000D6D1C">
      <w:pPr>
        <w:spacing w:line="480" w:lineRule="auto"/>
        <w:ind w:firstLine="0" w:firstLineChars="0"/>
        <w:rPr>
          <w:rFonts w:ascii="黑体" w:cs="Times New Roman" w:eastAsia="黑体" w:hAnsi="Times New Roman"/>
          <w:b/>
          <w:kern w:val="0"/>
          <w:sz w:val="32"/>
          <w:szCs w:val="32"/>
          <w:lang w:bidi="en-US"/>
        </w:rPr>
      </w:pPr>
    </w:p>
    <w:p w14:paraId="5A3B3767" w14:textId="77777777" w:rsidP="000D6D1C" w:rsidR="000D6D1C" w:rsidRDefault="000D6D1C">
      <w:pPr>
        <w:spacing w:line="480" w:lineRule="auto"/>
        <w:ind w:firstLine="0" w:firstLineChars="0"/>
        <w:jc w:val="center"/>
        <w:rPr>
          <w:rFonts w:ascii="仿宋_GB2312" w:cs="Times New Roman" w:hAnsi="Times New Roman"/>
          <w:kern w:val="0"/>
          <w:sz w:val="32"/>
          <w:szCs w:val="32"/>
          <w:lang w:bidi="en-US"/>
        </w:rPr>
      </w:pPr>
      <w:r>
        <w:rPr>
          <w:rFonts w:ascii="宋体" w:hAnsi="宋体" w:cs="宋体" w:eastAsia="宋体"/>
          <w:sz w:val="20"/>
          <w:u w:val="none"/>
        </w:rPr>
        <w:t>2023年05月</w:t>
      </w:r>
    </w:p>
    <w:p w14:paraId="2CC9551E" w14:textId="77777777" w:rsidP="000D6D1C" w:rsidR="000D6D1C" w:rsidRDefault="000D6D1C">
      <w:pPr>
        <w:pStyle w:val="TOC"/>
        <w:jc w:val="both"/>
      </w:pPr>
    </w:p>
    <w:p w14:paraId="42D32C8D" w14:textId="77777777" w:rsidP="000D6D1C" w:rsidR="000D6D1C" w:rsidRDefault="000D6D1C">
      <w:pPr>
        <w:ind w:firstLine="0" w:firstLineChars="0"/>
        <w:rPr>
          <w:szCs w:val="44"/>
        </w:rPr>
        <w:sectPr w:rsidR="000D6D1C">
          <w:headerReference r:id="rId7" w:type="even"/>
          <w:headerReference r:id="rId8" w:type="default"/>
          <w:footerReference r:id="rId9" w:type="even"/>
          <w:footerReference r:id="rId10" w:type="default"/>
          <w:headerReference r:id="rId11" w:type="first"/>
          <w:footerReference r:id="rId12" w:type="first"/>
          <w:pgSz w:h="16838" w:w="11906"/>
          <w:pgMar w:bottom="1440" w:footer="992" w:gutter="0" w:header="851" w:left="1800" w:right="1800" w:top="1440"/>
          <w:cols w:space="720"/>
          <w:docGrid w:linePitch="312" w:type="lines"/>
        </w:sectPr>
      </w:pPr>
    </w:p>
    <w:p w14:paraId="3A60F018" w14:textId="77777777" w:rsidP="000D6D1C" w:rsidR="000D6D1C" w:rsidRDefault="000D6D1C">
      <w:pPr>
        <w:pStyle w:val="-1"/>
      </w:pPr>
      <w:bookmarkStart w:id="3" w:name="_Toc56442880"/>
      <w:bookmarkStart w:id="4" w:name="_Toc56442938"/>
      <w:bookmarkStart w:id="5" w:name="_Toc20727"/>
      <w:r>
        <w:rPr>
          <w:rFonts w:hint="eastAsia"/>
        </w:rPr>
        <w:lastRenderedPageBreak/>
        <w:t>一、项目基本情况</w:t>
      </w:r>
      <w:bookmarkEnd w:id="3"/>
      <w:bookmarkEnd w:id="4"/>
      <w:bookmarkEnd w:id="5"/>
    </w:p>
    <w:p w14:paraId="33E79E83" w14:textId="77777777" w:rsidP="000D6D1C" w:rsidR="000D6D1C" w:rsidRDefault="000D6D1C">
      <w:pPr>
        <w:pStyle w:val="-2"/>
        <w:ind w:left="199" w:leftChars="71"/>
      </w:pPr>
      <w:bookmarkStart w:id="6" w:name="_Toc56442881"/>
      <w:bookmarkStart w:id="7" w:name="_Toc56442939"/>
      <w:bookmarkStart w:id="8" w:name="_Toc11153"/>
      <w:r>
        <w:rPr>
          <w:rFonts w:hint="eastAsia"/>
        </w:rPr>
        <w:t>（一）项目</w:t>
      </w:r>
      <w:bookmarkEnd w:id="6"/>
      <w:bookmarkEnd w:id="7"/>
      <w:bookmarkEnd w:id="8"/>
      <w:r>
        <w:rPr>
          <w:rFonts w:hint="eastAsia"/>
        </w:rPr>
        <w:t>概况</w:t>
      </w:r>
    </w:p>
    <w:p w14:paraId="57B8E09B" w14:textId="09F3647B" w:rsidP="000D6D1C" w:rsidR="000D6D1C" w:rsidRDefault="000D6D1C">
      <w:pPr>
        <w:pStyle w:val="-"/>
        <w:ind w:firstLine="560"/>
      </w:pPr>
      <w:bookmarkStart w:id="9" w:name="_Toc56442882"/>
      <w:bookmarkStart w:id="10" w:name="_Toc56442940"/>
      <w:bookmarkStart w:id="11" w:name="_Toc5633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1、保障市残疾人综合服务中心正常运行，涵盖大楼水电暖、电梯等日常维护工作，为残疾人工作者提供稳定安全的工作环境。
2、按照市直工委要求，按时保质保量完成本部门党建工作。
3、保证市残疾人康复中心正常运转。</w:t>
      </w:r>
    </w:p>
    <w:p w14:paraId="6A8D6C0E" w14:textId="77777777" w:rsidP="000D6D1C" w:rsidR="000D6D1C" w:rsidRDefault="000D6D1C">
      <w:pPr>
        <w:pStyle w:val="-2"/>
        <w:ind w:left="199" w:leftChars="71"/>
      </w:pPr>
      <w:r>
        <w:rPr>
          <w:rFonts w:hint="eastAsia"/>
        </w:rPr>
        <w:t>（二）项目预算安排及使用情况</w:t>
      </w:r>
      <w:bookmarkEnd w:id="9"/>
      <w:bookmarkEnd w:id="10"/>
      <w:bookmarkEnd w:id="11"/>
      <w:r>
        <w:rPr>
          <w:rFonts w:hint="eastAsia"/>
        </w:rPr>
        <w:t xml:space="preserve"> </w:t>
      </w:r>
    </w:p>
    <w:p w14:paraId="4E773571" w14:textId="25A1C090" w:rsidP="000D6D1C" w:rsidR="000D6D1C" w:rsidRDefault="000D6D1C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1-2-1 </w:t>
      </w:r>
      <w:r>
        <w:rPr>
          <w:rFonts w:hint="eastAsia"/>
          <w:b/>
          <w:bCs/>
          <w:sz w:val="24"/>
          <w:szCs w:val="24"/>
        </w:rPr>
        <w:t>年度预算安排及使用情况统计表</w:t>
      </w:r>
    </w:p>
    <w:p w14:paraId="496527C8" w14:textId="1B8B00B7" w:rsidP="000D6D1C" w:rsidR="003B7F69" w:rsidRDefault="003B7F69" w:rsidRPr="003B7F69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ascii="宋体" w:hAnsi="宋体" w:cs="宋体" w:eastAsia="宋体"/>
          <w:sz w:val="20"/>
          <w:u w:val="none"/>
        </w:rPr>
        <w:t xml:space="preserve">                                           单位：万元 </w:t>
      </w:r>
    </w:p>
    <w:tbl>
      <w:tblPr>
        <w:tblW w:type="pct" w:w="4696"/>
        <w:tblLayout w:type="fixed"/>
        <w:tblLook w:firstColumn="0" w:firstRow="0" w:lastColumn="0" w:lastRow="0" w:noHBand="0" w:noVBand="0" w:val="0000"/>
      </w:tblPr>
      <w:tblGrid>
        <w:gridCol w:w="1266"/>
        <w:gridCol w:w="1597"/>
        <w:gridCol w:w="1596"/>
        <w:gridCol w:w="1773"/>
        <w:gridCol w:w="1560"/>
      </w:tblGrid>
      <w:tr w14:paraId="3CC57AE7" w14:textId="6714BE47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E4A2085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CCE5A7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3708FDE" w14:textId="50AF353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4C2A49" w14:textId="48151FCC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4FF2F47" w14:textId="3E37679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执行率</w:t>
            </w:r>
          </w:p>
        </w:tc>
      </w:tr>
      <w:tr w14:paraId="729C2B37" w14:textId="72D8B7DB" w:rsidR="00743658" w:rsidTr="00743658">
        <w:trPr>
          <w:trHeight w:val="34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F08CE06" w14:textId="7A8EC486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FD4C1C8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01AC409" w14:textId="0E1780A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DDF77D1" w14:textId="4A1DFB4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55.69　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1047228" w14:textId="70FD75FE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79.56%</w:t>
            </w:r>
          </w:p>
        </w:tc>
      </w:tr>
      <w:tr w14:paraId="6A855541" w14:textId="783DB2DE" w:rsidR="00743658" w:rsidTr="00743658">
        <w:trPr>
          <w:trHeight w:val="452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C32D025" w14:textId="1ED915E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政府预算资金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467FC52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447D0BF" w14:textId="5226C97B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62200C12" w14:textId="6BF6D85A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55.69</w:t>
            </w:r>
          </w:p>
        </w:tc>
        <w:tc>
          <w:tcPr>
            <w:tcW w:type="pct" w:w="10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27C02D5" w14:textId="3303405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79.56%</w:t>
            </w:r>
          </w:p>
        </w:tc>
      </w:tr>
      <w:tr w14:paraId="77D5A43D" w14:textId="1AFD7DCF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824A171" w14:textId="612EB49C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财政专户管理资金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50523C13" w14:textId="77777777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DD77E70" w14:textId="34181E94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F1A9136" w14:textId="2AB88CB8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　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4941AEA4" w14:textId="3B6F38B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  <w:tr w14:paraId="67EDA5F9" w14:textId="77777777" w:rsidR="00743658" w:rsidTr="00743658">
        <w:trPr>
          <w:trHeight w:val="599"/>
        </w:trPr>
        <w:tc>
          <w:tcPr>
            <w:tcW w:type="pct" w:w="8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201CB715" w14:textId="6DF8FECE" w:rsidP="00E671D8" w:rsidR="00743658" w:rsidRDefault="00743658">
            <w:pPr>
              <w:widowControl/>
              <w:ind w:firstLine="0" w:firstLineChars="0"/>
              <w:jc w:val="left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单位资金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08A85349" w14:textId="4E5B8511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2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3C8FC2E7" w14:textId="0E158F5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13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234F846" w14:textId="1457EB22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</w:t>
            </w:r>
          </w:p>
        </w:tc>
        <w:tc>
          <w:tcPr>
            <w:tcW w:type="pct" w:w="10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752585E5" w14:textId="0C128900" w:rsidP="00E671D8" w:rsidR="00743658" w:rsidRDefault="00743658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0.00%</w:t>
            </w:r>
          </w:p>
        </w:tc>
      </w:tr>
    </w:tbl>
    <w:p w14:paraId="5A0AB01E" w14:textId="2591E1A2" w:rsidP="000D6D1C" w:rsidR="000D6D1C" w:rsidRDefault="000D6D1C">
      <w:pPr>
        <w:pStyle w:val="-2"/>
        <w:ind w:left="199" w:leftChars="71"/>
      </w:pPr>
      <w:bookmarkStart w:id="12" w:name="_Toc56442883"/>
      <w:bookmarkStart w:id="13" w:name="_Toc56442941"/>
      <w:bookmarkStart w:id="14" w:name="_Toc15851"/>
      <w:r>
        <w:rPr>
          <w:rFonts w:hint="eastAsia"/>
        </w:rPr>
        <w:t>（三）</w:t>
      </w:r>
      <w:bookmarkEnd w:id="12"/>
      <w:bookmarkEnd w:id="13"/>
      <w:bookmarkEnd w:id="14"/>
      <w:r w:rsidR="00933BF3">
        <w:rPr>
          <w:rFonts w:hint="eastAsia"/>
        </w:rPr>
        <w:t>资金管理情况表</w:t>
      </w:r>
    </w:p>
    <w:p w14:paraId="065F0249" w14:textId="77777777" w:rsidP="00933BF3" w:rsidR="00933BF3" w:rsidRDefault="00933BF3">
      <w:pPr>
        <w:pStyle w:val="-"/>
        <w:ind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</w:t>
      </w:r>
      <w:r>
        <w:rPr>
          <w:rFonts w:hint="eastAsia"/>
          <w:b/>
          <w:bCs/>
          <w:sz w:val="24"/>
          <w:szCs w:val="24"/>
        </w:rPr>
        <w:t xml:space="preserve">1-2-2 </w:t>
      </w:r>
      <w:r>
        <w:rPr>
          <w:rFonts w:hint="eastAsia"/>
          <w:b/>
          <w:bCs/>
          <w:sz w:val="24"/>
          <w:szCs w:val="24"/>
        </w:rPr>
        <w:t>资金管理情况表</w:t>
      </w:r>
    </w:p>
    <w:tbl>
      <w:tblPr>
        <w:tblW w:type="dxa" w:w="8166"/>
        <w:tblInd w:type="dxa" w:w="-13"/>
        <w:tblLayout w:type="fixed"/>
        <w:tblLook w:firstColumn="1" w:firstRow="1" w:lastColumn="0" w:lastRow="0" w:noHBand="0" w:noVBand="1" w:val="04A0"/>
      </w:tblPr>
      <w:tblGrid>
        <w:gridCol w:w="1198"/>
        <w:gridCol w:w="3862"/>
        <w:gridCol w:w="3106"/>
      </w:tblGrid>
      <w:tr w14:paraId="44AA9BCD" w14:textId="77777777" w:rsidR="00933BF3" w:rsidTr="007673B0">
        <w:trPr>
          <w:trHeight w:val="4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F2B35BC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7B96435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E462948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存在问题和改进措施</w:t>
            </w:r>
          </w:p>
        </w:tc>
      </w:tr>
      <w:tr w14:paraId="53BFE993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027EFD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安排科学性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72932A4" w14:textId="2C7A7DEE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1.将过“紧日子”作为预算安排的长期指导思想，不折不扣抓好落实，从严从紧编制部门预算；2.根据本单位年度目标任务确定，为工作任务的产出和效果提供坚实的基础；3体现了预算收入编制与经济社会发展水平相适应，与积极财政政策相衔接的要求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288C37B" w14:textId="300B9B3F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AB037EE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4708679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拨付合</w:t>
            </w:r>
            <w:proofErr w:type="gramStart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BE380CF" w14:textId="0FE40A83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该项目支出时严格按照相关财经法规、财务管理制度等规定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11D16F87" w14:textId="10654C7A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7F4AA00B" w14:textId="77777777" w:rsidR="00933BF3" w:rsidTr="007673B0">
        <w:trPr>
          <w:trHeight w:val="280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455E6D8B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使用规范性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529D3D4B" w14:textId="65DB7268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项目支出有完整的审批程序和手续；项目支出按规定经过评估论证；支出符合部门预算批复的用途；资金使用无截留、挤占、挪用、虚列支出等情况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7545513E" w14:textId="02B3E4AD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  <w:tr w14:paraId="238BE4EA" w14:textId="77777777" w:rsidR="00933BF3" w:rsidTr="007673B0">
        <w:trPr>
          <w:trHeight w:val="1194"/>
        </w:trPr>
        <w:tc>
          <w:tcPr>
            <w:tcW w:type="dxa" w:w="119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6CEAD52F" w14:textId="77777777" w:rsidP="007673B0" w:rsidR="00933BF3" w:rsidRDefault="00933BF3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预算绩效管理情况</w:t>
            </w:r>
          </w:p>
        </w:tc>
        <w:tc>
          <w:tcPr>
            <w:tcW w:type="dxa" w:w="386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08014A6A" w14:textId="0A07E139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0"/>
                <w:u w:val="none"/>
              </w:rPr>
              <w:t>该项目进行了“全流程”绩效管理。项目安排前经过了事前绩效评估程序并审核通过，安排时综合考虑了上年度绩效评价结果，按要求填报了绩效目标并经审核通过，并在年中开展了预算执行绩效监控工作。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14:paraId="34906BFF" w14:textId="6D273DD7" w:rsidP="007673B0" w:rsidR="00933BF3" w:rsidRDefault="00052489">
            <w:pPr>
              <w:widowControl/>
              <w:ind w:firstLine="0" w:firstLineChars="0"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bookmarkStart w:id="15" w:name="_GoBack"/>
            <w:bookmarkEnd w:id="15"/>
            <w:r>
              <w:rPr>
                <w:rFonts w:ascii="宋体" w:hAnsi="宋体" w:cs="宋体" w:eastAsia="宋体"/>
                <w:sz w:val="20"/>
                <w:u w:val="none"/>
              </w:rPr>
              <w:t>无</w:t>
            </w:r>
          </w:p>
        </w:tc>
      </w:tr>
    </w:tbl>
    <w:p w14:paraId="2EAC38E8" w14:textId="083471B7" w:rsidP="00933BF3" w:rsidR="00933BF3" w:rsidRDefault="00933BF3">
      <w:pPr>
        <w:pStyle w:val="-2"/>
        <w:ind w:left="199" w:leftChars="71"/>
      </w:pPr>
      <w:r>
        <w:rPr>
          <w:rFonts w:hint="eastAsia"/>
        </w:rPr>
        <w:t>（四</w:t>
      </w:r>
      <w:r>
        <w:rPr>
          <w:rFonts w:hint="eastAsia"/>
        </w:rPr>
        <w:t>）项目绩效目标</w:t>
      </w:r>
    </w:p>
    <w:p w14:paraId="671367C1" w14:textId="77777777" w:rsidP="000D6D1C" w:rsidR="000D6D1C" w:rsidRDefault="000D6D1C">
      <w:pPr>
        <w:pStyle w:val="-0"/>
        <w:ind w:leftChars="0"/>
      </w:pPr>
      <w:r>
        <w:rPr>
          <w:rFonts w:hint="eastAsia"/>
        </w:rPr>
        <w:t xml:space="preserve">1. </w:t>
      </w:r>
      <w:r>
        <w:rPr>
          <w:rFonts w:hint="eastAsia"/>
        </w:rPr>
        <w:t>项目年度绩效目标</w:t>
      </w:r>
    </w:p>
    <w:p w14:paraId="6E8056CA" w14:textId="6DF3B97C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1、保障市残疾人综合服务中心正常运行，涵盖大楼水电暖、电梯等日常维护工作，为残疾人工作者提供稳定安全的工作环境。
2、按照市直工委要求，按时保质保量完成本部门党建工作。
3、保证市残疾人康复中心大楼正常运转。</w:t>
      </w:r>
    </w:p>
    <w:p w14:paraId="4C8E7101" w14:textId="77777777" w:rsidP="000D6D1C" w:rsidR="000D6D1C" w:rsidRDefault="000D6D1C">
      <w:pPr>
        <w:pStyle w:val="-0"/>
        <w:ind w:left="199" w:leftChars="71"/>
      </w:pPr>
      <w:bookmarkStart w:id="16" w:name="_Toc56442884"/>
      <w:bookmarkStart w:id="17" w:name="_Toc56442942"/>
      <w:r>
        <w:rPr>
          <w:rFonts w:hint="eastAsia"/>
        </w:rPr>
        <w:lastRenderedPageBreak/>
        <w:t>2.</w:t>
      </w:r>
      <w:r>
        <w:rPr>
          <w:rFonts w:hint="eastAsia"/>
        </w:rPr>
        <w:t>项目年度绩效目标完成情况</w:t>
      </w:r>
      <w:bookmarkEnd w:id="16"/>
      <w:bookmarkEnd w:id="17"/>
    </w:p>
    <w:p w14:paraId="0F920351" w14:textId="5358369F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	2022年全年，三门峡市残疾人联合会综合服务中心大楼正常运行，涵盖大楼水电暖、电梯等日常维护工作，为残疾人工作者提供稳定安全的工作环境，并按照有关部门的要求，保质保量完成本部门党建工作。
</w:t>
      </w:r>
    </w:p>
    <w:p w14:paraId="6F95E6A2" w14:textId="77777777" w:rsidP="000D6D1C" w:rsidR="000D6D1C" w:rsidRDefault="000D6D1C">
      <w:pPr>
        <w:pStyle w:val="-1"/>
      </w:pPr>
      <w:bookmarkStart w:id="18" w:name="_Toc56442885"/>
      <w:bookmarkStart w:id="19" w:name="_Toc56442943"/>
      <w:bookmarkStart w:id="20" w:name="_Toc20144"/>
      <w:r>
        <w:rPr>
          <w:rFonts w:hint="eastAsia"/>
        </w:rPr>
        <w:t>二、</w:t>
      </w:r>
      <w:bookmarkEnd w:id="18"/>
      <w:bookmarkEnd w:id="19"/>
      <w:bookmarkEnd w:id="20"/>
      <w:r>
        <w:rPr>
          <w:rFonts w:hint="eastAsia"/>
        </w:rPr>
        <w:t>总体评价结论和指标分析</w:t>
      </w:r>
    </w:p>
    <w:p w14:paraId="64BDB522" w14:textId="77777777" w:rsidP="000D6D1C" w:rsidR="000D6D1C" w:rsidRDefault="000D6D1C">
      <w:pPr>
        <w:pStyle w:val="-2"/>
        <w:ind w:left="560"/>
      </w:pPr>
      <w:r>
        <w:rPr>
          <w:rFonts w:hint="eastAsia"/>
        </w:rPr>
        <w:t>（一）总体评价结论</w:t>
      </w:r>
    </w:p>
    <w:p w14:paraId="5CDAC2ED" w14:textId="27F725D6" w:rsidP="000D6D1C" w:rsidR="000D6D1C" w:rsidRDefault="000D6D1C">
      <w:pPr>
        <w:pStyle w:val="-"/>
        <w:ind w:firstLine="560"/>
      </w:pPr>
      <w:proofErr w:type="spellStart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综合考虑资金管理、产出、效果、满意度等各方面因素，通过数据采集及分析，最终评分结果：办公运行维护费（含党建）绩效自评价结果为:总得分97.96分，属于"优"。</w:t>
      </w:r>
    </w:p>
    <w:p w14:paraId="4F74D550" w14:textId="77777777" w:rsidP="000D6D1C" w:rsidR="000D6D1C" w:rsidRDefault="000D6D1C">
      <w:pPr>
        <w:ind w:firstLine="560"/>
      </w:pPr>
    </w:p>
    <w:p w14:paraId="50284863" w14:textId="77777777" w:rsidP="000D6D1C" w:rsidR="000D6D1C" w:rsidRDefault="000D6D1C">
      <w:pPr>
        <w:pStyle w:val="-2"/>
        <w:ind w:left="560"/>
      </w:pPr>
      <w:bookmarkStart w:id="21" w:name="_Toc56442886"/>
      <w:bookmarkStart w:id="22" w:name="_Toc56442944"/>
      <w:bookmarkStart w:id="23" w:name="_Toc2119"/>
      <w:r>
        <w:rPr>
          <w:rFonts w:hint="eastAsia"/>
        </w:rPr>
        <w:t>（二）指标分析</w:t>
      </w:r>
    </w:p>
    <w:bookmarkEnd w:id="21"/>
    <w:bookmarkEnd w:id="22"/>
    <w:bookmarkEnd w:id="23"/>
    <w:p w14:paraId="346DCE24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1.</w:t>
      </w:r>
      <w:r>
        <w:rPr>
          <w:rFonts w:hint="eastAsia"/>
        </w:rPr>
        <w:t>绩效目标完成的指标</w:t>
      </w:r>
    </w:p>
    <w:p w14:paraId="7389FC30" w14:textId="493A02DE" w:rsidP="000D6D1C" w:rsidR="000D6D1C" w:rsidRDefault="000D6D1C">
      <w:pPr>
        <w:pStyle w:val="-"/>
        <w:ind w:firstLine="560"/>
      </w:pPr>
      <w:r>
        <w:rPr>
          <w:rFonts w:ascii="宋体" w:hAnsi="宋体" w:cs="宋体" w:eastAsia="宋体"/>
          <w:sz w:val="20"/>
          <w:u w:val="none"/>
        </w:rPr>
        <w:t>按照目标完成任务，发挥资金效益; 电费（度）; 取暖（面积）; 党的建设工作; 电梯、消防、安保设施设备维修维护; 办公运行正常运转; 党建工作完成及时性; 工作开展及时性; 对地区残疾人事业发展; 残疾人工作者满意度;</w:t>
      </w:r>
    </w:p>
    <w:p w14:paraId="0F9CB7B9" w14:textId="77777777" w:rsidP="000D6D1C" w:rsidR="000D6D1C" w:rsidRDefault="000D6D1C">
      <w:pPr>
        <w:pStyle w:val="-"/>
        <w:ind w:firstLine="560"/>
      </w:pPr>
      <w:r>
        <w:rPr>
          <w:rFonts w:hint="eastAsia"/>
        </w:rPr>
        <w:t>2.</w:t>
      </w:r>
      <w:r>
        <w:rPr>
          <w:rFonts w:hint="eastAsia"/>
        </w:rPr>
        <w:t>没有完成绩效目标的指标</w:t>
      </w:r>
    </w:p>
    <w:p w14:paraId="0A40F878" w14:textId="22DB74FE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/>
      </w:r>
    </w:p>
    <w:p w14:paraId="7988D946" w14:textId="77777777" w:rsidP="000D6D1C" w:rsidR="000D6D1C" w:rsidRDefault="000D6D1C">
      <w:pPr>
        <w:ind w:firstLine="560"/>
      </w:pPr>
    </w:p>
    <w:p w14:paraId="12044FCA" w14:textId="77777777" w:rsidP="000D6D1C" w:rsidR="000D6D1C" w:rsidRDefault="000D6D1C">
      <w:pPr>
        <w:pStyle w:val="-1"/>
      </w:pPr>
      <w:bookmarkStart w:id="24" w:name="_Toc56442890"/>
      <w:bookmarkStart w:id="25" w:name="_Toc56442948"/>
      <w:bookmarkStart w:id="26" w:name="_Toc20132"/>
      <w:r>
        <w:rPr>
          <w:rFonts w:hint="eastAsia"/>
        </w:rPr>
        <w:t>三、存在的问题和建议</w:t>
      </w:r>
      <w:bookmarkEnd w:id="24"/>
      <w:bookmarkEnd w:id="25"/>
      <w:bookmarkEnd w:id="26"/>
    </w:p>
    <w:p w14:paraId="4A75A783" w14:textId="77777777" w:rsidP="000D6D1C" w:rsidR="000D6D1C" w:rsidRDefault="000D6D1C">
      <w:pPr>
        <w:pStyle w:val="-2"/>
        <w:ind w:left="560"/>
      </w:pPr>
      <w:bookmarkStart w:id="27" w:name="_Toc56442889"/>
      <w:bookmarkStart w:id="28" w:name="_Toc56442947"/>
      <w:bookmarkStart w:id="29" w:name="_Toc19895"/>
      <w:r>
        <w:rPr>
          <w:rFonts w:hint="eastAsia"/>
        </w:rPr>
        <w:t>（一）存在的问题</w:t>
      </w:r>
      <w:bookmarkEnd w:id="27"/>
      <w:bookmarkEnd w:id="28"/>
      <w:bookmarkEnd w:id="29"/>
    </w:p>
    <w:p w14:paraId="1EA83019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3549EAF3" w14:textId="77777777" w:rsidP="000D6D1C" w:rsidR="000D6D1C" w:rsidRDefault="000D6D1C">
      <w:pPr>
        <w:pStyle w:val="-2"/>
        <w:ind w:left="560"/>
      </w:pPr>
      <w:bookmarkStart w:id="30" w:name="_Toc21644"/>
      <w:r>
        <w:rPr>
          <w:rFonts w:hint="eastAsia"/>
        </w:rPr>
        <w:t>（二）改进建议</w:t>
      </w:r>
      <w:bookmarkEnd w:id="30"/>
    </w:p>
    <w:p w14:paraId="6FC74B22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对项目决策的建议</w:t>
      </w:r>
    </w:p>
    <w:p w14:paraId="4B9A55E8" w14:textId="77777777" w:rsidP="000D6D1C" w:rsidR="000D6D1C" w:rsidRDefault="000D6D1C">
      <w:pPr>
        <w:pStyle w:val="-"/>
        <w:ind w:firstLine="840" w:firstLineChars="30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7ADE772D" w14:textId="77777777" w:rsidP="000D6D1C" w:rsidR="000D6D1C" w:rsidRDefault="000D6D1C">
      <w:pPr>
        <w:pStyle w:val="-0"/>
        <w:ind w:left="560"/>
      </w:pPr>
      <w:r>
        <w:rPr>
          <w:rFonts w:hint="eastAsia"/>
        </w:rPr>
        <w:t>2.</w:t>
      </w:r>
      <w:r>
        <w:rPr>
          <w:rFonts w:hint="eastAsia"/>
        </w:rPr>
        <w:t>对预算安排及执行情况的建议</w:t>
      </w:r>
    </w:p>
    <w:p w14:paraId="438EE7A4" w14:textId="77777777" w:rsidP="000D6D1C" w:rsidR="000D6D1C" w:rsidRDefault="000D6D1C">
      <w:pPr>
        <w:pStyle w:val="-"/>
        <w:ind w:firstLine="199" w:firstLineChars="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  暂无</w:t>
      </w:r>
    </w:p>
    <w:p w14:paraId="5C5966CD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对资金管理的建议</w:t>
      </w:r>
    </w:p>
    <w:p w14:paraId="6CC9B9B6" w14:textId="77777777" w:rsidP="000D6D1C" w:rsidR="000D6D1C" w:rsidRDefault="000D6D1C">
      <w:pPr>
        <w:pStyle w:val="-"/>
        <w:ind w:firstLine="560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 xml:space="preserve">   暂无</w:t>
      </w:r>
    </w:p>
    <w:p w14:paraId="11E662E5" w14:textId="77777777" w:rsidP="000D6D1C" w:rsidR="000D6D1C" w:rsidRDefault="000D6D1C">
      <w:pPr>
        <w:pStyle w:val="-"/>
        <w:ind w:firstLine="562"/>
        <w:rPr>
          <w:b/>
          <w:bCs/>
        </w:rPr>
      </w:pPr>
      <w:r>
        <w:rPr>
          <w:rFonts w:hint="eastAsia"/>
          <w:b/>
          <w:bCs/>
        </w:rPr>
        <w:t>4.</w:t>
      </w:r>
      <w:r>
        <w:rPr>
          <w:rFonts w:hint="eastAsia"/>
          <w:b/>
          <w:bCs/>
        </w:rPr>
        <w:t>对项目管理的建议</w:t>
      </w:r>
    </w:p>
    <w:p w14:paraId="4E6CB4B2" w14:textId="77777777" w:rsidP="000D6D1C" w:rsidR="000D6D1C" w:rsidRDefault="000D6D1C">
      <w:pPr>
        <w:pStyle w:val="-"/>
        <w:ind w:firstLine="1039" w:firstLineChars="371"/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>暂无</w:t>
      </w:r>
    </w:p>
    <w:p w14:paraId="3B5CF1C6" w14:textId="77777777" w:rsidP="000D6D1C" w:rsidR="000D6D1C" w:rsidRDefault="000D6D1C">
      <w:pPr>
        <w:pStyle w:val="-"/>
        <w:ind w:firstLine="562"/>
      </w:pPr>
      <w:r>
        <w:rPr>
          <w:rFonts w:hint="eastAsia"/>
          <w:b/>
          <w:bCs/>
        </w:rPr>
        <w:t>5.</w:t>
      </w:r>
      <w:r>
        <w:rPr>
          <w:rFonts w:hint="eastAsia"/>
          <w:b/>
          <w:bCs/>
        </w:rPr>
        <w:t>其他建议</w:t>
      </w:r>
      <w:r>
        <w:rPr>
          <w:rFonts w:hint="eastAsia"/>
        </w:rPr>
        <w:tab/>
      </w:r>
    </w:p>
    <w:p w14:paraId="77B3FBFD" w14:textId="77777777" w:rsidP="00236E9B" w:rsidR="000D6D1C" w:rsidRDefault="000D6D1C" w:rsidRPr="00236E9B">
      <w:pPr>
        <w:ind w:firstLine="1161" w:firstLineChars="413"/>
        <w:rPr>
          <w:rFonts w:ascii="宋体" w:eastAsia="宋体" w:hAnsi="宋体"/>
          <w:b/>
          <w:bCs/>
        </w:rPr>
      </w:pPr>
      <w:proofErr w:type="spellStart"/>
      <w:proofErr w:type="spellEnd"/>
      <w:r>
        <w:rPr>
          <w:rFonts w:ascii="宋体" w:hAnsi="宋体" w:cs="宋体" w:eastAsia="宋体"/>
          <w:sz w:val="20"/>
          <w:u w:val="none"/>
        </w:rPr>
        <w:t/>
      </w:r>
    </w:p>
    <w:p w14:paraId="4ED7088E" w14:textId="77777777" w:rsidP="000D6D1C" w:rsidR="000D6D1C" w:rsidRDefault="000D6D1C">
      <w:pPr>
        <w:pStyle w:val="-2"/>
        <w:ind w:left="0" w:leftChars="0"/>
      </w:pPr>
      <w:r>
        <w:br w:type="page"/>
      </w:r>
      <w:bookmarkStart w:id="31" w:name="_Toc12241"/>
      <w:r>
        <w:rPr>
          <w:rFonts w:eastAsia="仿宋"/>
        </w:rPr>
        <w:lastRenderedPageBreak/>
        <w:t>附表</w:t>
      </w:r>
      <w:r>
        <w:rPr>
          <w:rFonts w:eastAsia="仿宋"/>
        </w:rPr>
        <w:t xml:space="preserve">1 </w:t>
      </w:r>
      <w:proofErr w:type="gramStart"/>
      <w:r>
        <w:rPr>
          <w:rFonts w:eastAsia="仿宋" w:hint="eastAsia"/>
        </w:rPr>
        <w:t>自评价</w:t>
      </w:r>
      <w:proofErr w:type="gramEnd"/>
      <w:r>
        <w:rPr>
          <w:rFonts w:eastAsia="仿宋"/>
        </w:rPr>
        <w:t>评分表</w:t>
      </w:r>
      <w:bookmarkEnd w:id="31"/>
    </w:p>
    <w:tbl>
      <w:tblPr>
        <w:tblW w:type="dxa" w:w="8647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0" w:firstRow="0" w:lastColumn="0" w:lastRow="0" w:noHBand="0" w:noVBand="0" w:val="0000"/>
      </w:tblPr>
      <w:tblPr>
        <w:tblW w:type="dxa" w:w="9072"/>
      </w:tblPr>
      <w:tblGrid>
        <w:gridCol w:w="967"/>
        <w:gridCol w:w="1114"/>
        <w:gridCol w:w="1015"/>
        <w:gridCol w:w="1130"/>
        <w:gridCol w:w="1130"/>
        <w:gridCol w:w="732"/>
        <w:gridCol w:w="732"/>
        <w:gridCol w:w="1795"/>
        <w:gridCol w:w="32"/>
      </w:tblGrid>
      <w:tr w14:paraId="2521038D" w14:textId="77777777" w:rsidR="000D6D1C" w:rsidTr="007C4E52">
        <w:tc>
          <w:tcPr>
            <w:tcW w:type="dxa" w:w="8647"/>
            <w:gridSpan w:val="9"/>
            <w:shd w:color="auto" w:fill="BFBFBF" w:val="clear"/>
          </w:tcPr>
          <w:p w14:paraId="2A6FFBF1" w14:textId="77777777" w:rsidP="00660FA0" w:rsidR="000D6D1C" w:rsidRDefault="000D6D1C">
            <w:pPr>
              <w:spacing w:line="240" w:lineRule="atLeast"/>
              <w:ind w:firstLine="0" w:firstLineChars="0"/>
              <w:jc w:val="center"/>
              <w:rPr>
                <w:rFonts w:ascii="黑体" w:cs="Arial" w:eastAsia="黑体" w:hAnsi="黑体"/>
                <w:b/>
                <w:bCs/>
                <w:szCs w:val="28"/>
              </w:rPr>
            </w:pPr>
            <w:proofErr w:type="gramStart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自评价</w:t>
            </w:r>
            <w:proofErr w:type="gramEnd"/>
            <w:r>
              <w:rPr>
                <w:rFonts w:ascii="仿宋" w:cs="仿宋" w:eastAsia="仿宋" w:hAnsi="仿宋" w:hint="eastAsia"/>
                <w:b/>
                <w:bCs/>
                <w:sz w:val="24"/>
                <w:szCs w:val="24"/>
              </w:rPr>
              <w:t>评分附件表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一级指标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二级指标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三级指标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年度目标值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实际完成值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分值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得分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偏差原因分析</w:t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成本指标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社会成本指标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按照目标完成任务，发挥资金效益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资金无浪费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电费（度）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≥30000度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35000度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取暖（面积）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≤3666平方米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3666平方米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党的建设工作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按时完成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数量指标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电梯、消防、安保设施设备维修维护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运转正常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质量指标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办公运行正常运转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保障单位工作正常开展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6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6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时效指标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党建工作完成及时性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及时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产出指标</w:t>
            </w:r>
          </w:p>
        </w:tc>
        <w:tc>
          <w:tcPr>
            <w:tcW w:w="5000"/>
            <w:vMerge w:val="continue"/>
          </w:tcPr>
          <w:p>
            <w:pPr>
              <w:ind w:firstLine="0"/>
            </w:pPr>
            <w:r>
              <w:rPr>
                <w:sz w:val="20"/>
              </w:rPr>
              <w:t>时效指标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工作开展及时性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及时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4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>
        <w:trPr>
          <w:trHeight w:val="500"/>
        </w:trPr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效益指标</w:t>
            </w:r>
          </w:p>
        </w:tc>
        <w:tc>
          <w:tcPr>
            <w:tcW w:w="5000"/>
            <w:vMerge w:val="restart"/>
          </w:tcPr>
          <w:p>
            <w:pPr>
              <w:ind w:firstLine="0"/>
            </w:pPr>
            <w:r>
              <w:rPr>
                <w:sz w:val="20"/>
              </w:rPr>
              <w:t>社会效益指标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对地区残疾人事业发展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积极作用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100%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>25</w:t>
            </w:r>
          </w:p>
        </w:tc>
        <w:tc>
          <w:tcPr>
            <w:tcW w:w="5000"/>
          </w:tcPr>
          <w:p>
            <w:pPr>
              <w:ind w:firstLine="0"/>
            </w:pPr>
            <w:r>
              <w:rPr>
                <w:sz w:val="20"/>
              </w:rPr>
              <w:t xsi:nil="true"/>
            </w:r>
          </w:p>
        </w:tc>
      </w:tr>
      <w:tr w14:paraId="6DB70E39" w14:textId="77777777" w:rsidR="000D6D1C" w:rsidTr="007C4E52">
        <w:trPr>
          <w:gridAfter w:val="1"/>
          <w:wAfter w:type="dxa" w:w="32"/>
        </w:trPr>
        <w:trPr>
          <w:trHeight w:val="500"/>
        </w:trPr>
        <w:tc>
          <w:tcPr>
            <w:tcW w:type="dxa" w:w="967"/>
            <w:vMerge w:val="restart"/>
          </w:tcPr>
          <w:tcPr>
            <w:tcW w:w="5000"/>
          </w:tcPr>
          <w:p w14:paraId="21CE09D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满意度指标</w:t>
            </w:r>
          </w:p>
        </w:tc>
        <w:tc>
          <w:tcPr>
            <w:tcW w:type="dxa" w:w="1114"/>
            <w:vMerge w:val="restart"/>
          </w:tcPr>
          <w:tcPr>
            <w:tcW w:w="5000"/>
          </w:tcPr>
          <w:p w14:paraId="785B4AEC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服务对象满意度指标</w:t>
            </w:r>
          </w:p>
        </w:tc>
        <w:tc>
          <w:tcPr>
            <w:tcW w:type="dxa" w:w="1015"/>
          </w:tcPr>
          <w:tcPr>
            <w:tcW w:w="5000"/>
          </w:tcPr>
          <w:p w14:paraId="6156422F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残疾人工作者满意度</w:t>
            </w:r>
          </w:p>
        </w:tc>
        <w:tc>
          <w:tcPr>
            <w:tcW w:type="dxa" w:w="1130"/>
          </w:tcPr>
          <w:tcPr>
            <w:tcW w:w="5000"/>
          </w:tcPr>
          <w:p w14:paraId="4535E80E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=100%</w:t>
            </w:r>
          </w:p>
        </w:tc>
        <w:tc>
          <w:tcPr>
            <w:tcW w:type="dxa" w:w="1130"/>
          </w:tcPr>
          <w:tcPr>
            <w:tcW w:w="5000"/>
          </w:tcPr>
          <w:p w14:paraId="401438E7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type="dxa" w:w="732"/>
          </w:tcPr>
          <w:tcPr>
            <w:tcW w:w="5000"/>
          </w:tcPr>
          <w:p w14:paraId="62D7CB42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732"/>
          </w:tcPr>
          <w:tcPr>
            <w:tcW w:w="5000"/>
          </w:tcPr>
          <w:p w14:paraId="0B9D9EE9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795"/>
          </w:tcPr>
          <w:tcPr>
            <w:tcW w:w="5000"/>
          </w:tcPr>
          <w:p w14:paraId="38E614C1" w14:textId="77777777" w:rsidP="00660FA0" w:rsidR="000D6D1C" w:rsidRDefault="000D6D1C" w:rsidRPr="00AA4C3E">
            <w:pPr>
              <w:pStyle w:val="-"/>
              <w:spacing w:line="240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si:nil="true"/>
            </w:r>
          </w:p>
        </w:tc>
      </w:tr>
    </w:tbl>
    <w:p w14:paraId="22A97FF1" w14:textId="77777777" w:rsidP="000D6D1C" w:rsidR="000D6D1C" w:rsidRDefault="000D6D1C">
      <w:pPr>
        <w:ind w:firstLine="0" w:firstLineChars="0"/>
      </w:pPr>
    </w:p>
    <w:p w14:paraId="5B9E154B" w14:textId="77777777" w:rsidP="000D6D1C" w:rsidR="000D6D1C" w:rsidRDefault="000D6D1C">
      <w:pPr>
        <w:pStyle w:val="-"/>
        <w:ind w:firstLine="199" w:firstLineChars="71"/>
        <w:sectPr w:rsidR="000D6D1C">
          <w:pgSz w:h="16838" w:w="11906"/>
          <w:pgMar w:bottom="1440" w:footer="992" w:gutter="0" w:header="851" w:left="1800" w:right="1800" w:top="1440"/>
          <w:cols w:space="720"/>
          <w:docGrid w:linePitch="381" w:type="lines"/>
        </w:sectPr>
      </w:pPr>
    </w:p>
    <w:p w14:paraId="5AA3C8CB" w14:textId="77777777" w:rsidP="000D6D1C" w:rsidR="000D6D1C" w:rsidRDefault="000D6D1C">
      <w:pPr>
        <w:pStyle w:val="a5"/>
        <w:ind w:firstLine="0" w:firstLineChars="0"/>
        <w:jc w:val="both"/>
      </w:pPr>
    </w:p>
    <w:p w14:paraId="494E1E6C" w14:textId="77777777" w:rsidR="00FE0C1A" w:rsidRDefault="00FE0C1A">
      <w:pPr>
        <w:ind w:firstLine="560"/>
      </w:pPr>
    </w:p>
    <w:sectPr w:rsidR="00FE0C1A">
      <w:headerReference r:id="rId13" w:type="even"/>
      <w:headerReference r:id="rId14" w:type="default"/>
      <w:footerReference r:id="rId15" w:type="even"/>
      <w:footerReference r:id="rId16" w:type="default"/>
      <w:headerReference r:id="rId17" w:type="first"/>
      <w:footerReference r:id="rId18" w:type="first"/>
      <w:pgSz w:h="16838" w:w="11906"/>
      <w:pgMar w:bottom="1440" w:footer="992" w:gutter="0" w:header="851" w:left="1800" w:right="1800" w:top="1440"/>
      <w:cols w:space="720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C412" w14:textId="77777777" w:rsidR="00B24F65" w:rsidRDefault="00B24F65" w:rsidP="000D6D1C">
      <w:pPr>
        <w:ind w:firstLine="560"/>
      </w:pPr>
      <w:r>
        <w:separator/>
      </w:r>
    </w:p>
  </w:endnote>
  <w:endnote w:type="continuationSeparator" w:id="0">
    <w:p w14:paraId="048EFECF" w14:textId="77777777" w:rsidR="00B24F65" w:rsidRDefault="00B24F65" w:rsidP="000D6D1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825D182" w14:textId="77777777" w:rsidR="000D6D1C" w:rsidRDefault="000D6D1C">
    <w:pPr>
      <w:pStyle w:val="a4"/>
      <w:ind w:firstLine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2D4B310" w14:textId="77777777" w:rsidR="000D6D1C" w:rsidRDefault="000D6D1C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489" w:rsidRPr="00052489">
      <w:rPr>
        <w:noProof/>
        <w:lang w:val="zh-CN"/>
      </w:rPr>
      <w:t>5</w:t>
    </w:r>
    <w:r>
      <w:fldChar w:fldCharType="end"/>
    </w:r>
  </w:p>
  <w:p w14:paraId="74E6473F" w14:textId="77777777" w:rsidR="000D6D1C" w:rsidRDefault="000D6D1C">
    <w:pPr>
      <w:pStyle w:val="a4"/>
      <w:ind w:firstLine="360"/>
    </w:pPr>
  </w:p>
</w:ftr>
</file>

<file path=word/footer3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18B4BCC6" w14:textId="77777777" w:rsidR="000D6D1C" w:rsidRDefault="000D6D1C">
    <w:pPr>
      <w:pStyle w:val="a4"/>
      <w:ind w:firstLine="360"/>
    </w:pPr>
  </w:p>
</w:ftr>
</file>

<file path=word/footer4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2A63DDA" w14:textId="77777777" w:rsidR="0089640D" w:rsidRDefault="00B24F65">
    <w:pPr>
      <w:pStyle w:val="a4"/>
      <w:ind w:firstLine="360"/>
    </w:pPr>
  </w:p>
</w:ftr>
</file>

<file path=word/footer5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9C59BEA" w14:textId="77777777" w:rsidR="0089640D" w:rsidRDefault="00BA6156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BF3" w:rsidRPr="00933BF3">
      <w:rPr>
        <w:noProof/>
        <w:lang w:val="zh-CN"/>
      </w:rPr>
      <w:t>6</w:t>
    </w:r>
    <w:r>
      <w:fldChar w:fldCharType="end"/>
    </w:r>
  </w:p>
  <w:p w14:paraId="1CFB38CD" w14:textId="77777777" w:rsidR="0089640D" w:rsidRDefault="00B24F65">
    <w:pPr>
      <w:pStyle w:val="a4"/>
      <w:ind w:firstLine="360"/>
    </w:pPr>
  </w:p>
</w:ftr>
</file>

<file path=word/footer6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08BF0A4" w14:textId="77777777" w:rsidR="0089640D" w:rsidRDefault="00B24F65">
    <w:pPr>
      <w:pStyle w:val="a4"/>
      <w:ind w:firstLine="360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28BB5245" w14:textId="77777777" w:rsidP="000D6D1C" w:rsidR="00B24F65" w:rsidRDefault="00B24F65">
      <w:pPr>
        <w:ind w:firstLine="560"/>
      </w:pPr>
      <w:r>
        <w:separator/>
      </w:r>
    </w:p>
  </w:footnote>
  <w:footnote w:id="0" w:type="continuationSeparator">
    <w:p w14:paraId="5406B9BE" w14:textId="77777777" w:rsidP="000D6D1C" w:rsidR="00B24F65" w:rsidRDefault="00B24F65">
      <w:pPr>
        <w:ind w:firstLine="560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85AF8D3" w14:textId="77777777" w:rsidR="000D6D1C" w:rsidRDefault="000D6D1C">
    <w:pPr>
      <w:pStyle w:val="a3"/>
      <w:ind w:firstLine="360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4CCE140" w14:textId="77777777" w:rsidR="000D6D1C" w:rsidRDefault="000D6D1C">
    <w:pPr>
      <w:pStyle w:val="a3"/>
      <w:ind w:firstLine="360"/>
    </w:pPr>
  </w:p>
</w:hdr>
</file>

<file path=word/header3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C97A046" w14:textId="77777777" w:rsidR="000D6D1C" w:rsidRDefault="000D6D1C">
    <w:pPr>
      <w:pStyle w:val="a3"/>
      <w:ind w:firstLine="360"/>
    </w:pPr>
  </w:p>
</w:hdr>
</file>

<file path=word/header4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E624E87" w14:textId="77777777" w:rsidR="0089640D" w:rsidRDefault="00B24F65">
    <w:pPr>
      <w:pStyle w:val="a3"/>
      <w:ind w:firstLine="360"/>
    </w:pPr>
  </w:p>
</w:hdr>
</file>

<file path=word/header5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4099CA25" w14:textId="77777777" w:rsidR="0089640D" w:rsidRDefault="00B24F65">
    <w:pPr>
      <w:pStyle w:val="a3"/>
      <w:ind w:firstLine="360"/>
    </w:pPr>
  </w:p>
</w:hdr>
</file>

<file path=word/header6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6ED762C8" w14:textId="77777777" w:rsidR="0089640D" w:rsidRDefault="00B24F65">
    <w:pPr>
      <w:pStyle w:val="a3"/>
      <w:ind w:firstLine="360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A0"/>
    <w:rsid w:val="00011C36"/>
    <w:rsid w:val="00016B5D"/>
    <w:rsid w:val="00052489"/>
    <w:rsid w:val="000A7ADC"/>
    <w:rsid w:val="000D6D1C"/>
    <w:rsid w:val="000D6D59"/>
    <w:rsid w:val="00110E19"/>
    <w:rsid w:val="00152912"/>
    <w:rsid w:val="00193827"/>
    <w:rsid w:val="001F5E08"/>
    <w:rsid w:val="00236E9B"/>
    <w:rsid w:val="00281552"/>
    <w:rsid w:val="00327F83"/>
    <w:rsid w:val="003735F8"/>
    <w:rsid w:val="003B7F69"/>
    <w:rsid w:val="003D2071"/>
    <w:rsid w:val="004407E1"/>
    <w:rsid w:val="0048074D"/>
    <w:rsid w:val="004C04F3"/>
    <w:rsid w:val="004C19F5"/>
    <w:rsid w:val="00537773"/>
    <w:rsid w:val="006006D8"/>
    <w:rsid w:val="006417C1"/>
    <w:rsid w:val="00660FA0"/>
    <w:rsid w:val="0070424C"/>
    <w:rsid w:val="00724007"/>
    <w:rsid w:val="00732296"/>
    <w:rsid w:val="00743658"/>
    <w:rsid w:val="007C4E52"/>
    <w:rsid w:val="008A7395"/>
    <w:rsid w:val="008B6A0E"/>
    <w:rsid w:val="008E6B47"/>
    <w:rsid w:val="00933BF3"/>
    <w:rsid w:val="00971B9D"/>
    <w:rsid w:val="00992960"/>
    <w:rsid w:val="009B04B2"/>
    <w:rsid w:val="009B5A0B"/>
    <w:rsid w:val="00A70744"/>
    <w:rsid w:val="00B24F65"/>
    <w:rsid w:val="00B8339A"/>
    <w:rsid w:val="00B8498F"/>
    <w:rsid w:val="00BA6156"/>
    <w:rsid w:val="00BC0F32"/>
    <w:rsid w:val="00C04C23"/>
    <w:rsid w:val="00C47CBC"/>
    <w:rsid w:val="00C61059"/>
    <w:rsid w:val="00C73CC1"/>
    <w:rsid w:val="00D118FE"/>
    <w:rsid w:val="00DA2682"/>
    <w:rsid w:val="00DB7226"/>
    <w:rsid w:val="00E21CBA"/>
    <w:rsid w:val="00E65930"/>
    <w:rsid w:val="00E671D8"/>
    <w:rsid w:val="00F12F3A"/>
    <w:rsid w:val="00F162A0"/>
    <w:rsid w:val="00F212D0"/>
    <w:rsid w:val="00F24EEA"/>
    <w:rsid w:val="00F701C2"/>
    <w:rsid w:val="00FC14E3"/>
    <w:rsid w:val="00FC1F69"/>
    <w:rsid w:val="00FE0C1A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12FC7EA0"/>
  <w15:chartTrackingRefBased/>
  <w15:docId w15:val="{86BB11D0-7211-455F-A333-C9994ED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0D6D1C"/>
    <w:pPr>
      <w:widowControl w:val="0"/>
      <w:ind w:firstLine="600" w:firstLineChars="200"/>
      <w:jc w:val="both"/>
    </w:pPr>
    <w:rPr>
      <w:rFonts w:ascii="Calibri" w:cs="黑体" w:eastAsia="仿宋_GB2312" w:hAnsi="Calibri"/>
      <w:sz w:val="28"/>
    </w:rPr>
  </w:style>
  <w:style w:styleId="1" w:type="paragraph">
    <w:name w:val="heading 1"/>
    <w:basedOn w:val="a"/>
    <w:next w:val="a"/>
    <w:link w:val="1Char"/>
    <w:uiPriority w:val="9"/>
    <w:qFormat/>
    <w:rsid w:val="000D6D1C"/>
    <w:pPr>
      <w:keepNext/>
      <w:keepLines/>
      <w:spacing w:after="330" w:before="340" w:line="578" w:lineRule="auto"/>
      <w:outlineLvl w:val="0"/>
    </w:pPr>
    <w:rPr>
      <w:b/>
      <w:bCs/>
      <w:kern w:val="44"/>
      <w:sz w:val="44"/>
      <w:szCs w:val="44"/>
    </w:rPr>
  </w:style>
  <w:style w:styleId="2" w:type="paragraph">
    <w:name w:val="heading 2"/>
    <w:basedOn w:val="a"/>
    <w:next w:val="a"/>
    <w:link w:val="2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1"/>
    </w:pPr>
    <w:rPr>
      <w:rFonts w:asciiTheme="majorHAnsi" w:cstheme="majorBidi" w:eastAsiaTheme="majorEastAsia" w:hAnsiTheme="majorHAnsi"/>
      <w:b/>
      <w:bCs/>
      <w:sz w:val="32"/>
      <w:szCs w:val="32"/>
    </w:rPr>
  </w:style>
  <w:style w:styleId="3" w:type="paragraph">
    <w:name w:val="heading 3"/>
    <w:basedOn w:val="a"/>
    <w:next w:val="a"/>
    <w:link w:val="3Char"/>
    <w:uiPriority w:val="9"/>
    <w:semiHidden/>
    <w:unhideWhenUsed/>
    <w:qFormat/>
    <w:rsid w:val="000D6D1C"/>
    <w:pPr>
      <w:keepNext/>
      <w:keepLines/>
      <w:spacing w:after="260" w:before="260" w:line="416" w:lineRule="auto"/>
      <w:outlineLvl w:val="2"/>
    </w:pPr>
    <w:rPr>
      <w:b/>
      <w:bCs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1"/>
    <w:uiPriority w:val="99"/>
    <w:unhideWhenUsed/>
    <w:rsid w:val="000D6D1C"/>
    <w:pPr>
      <w:pBdr>
        <w:bottom w:color="auto" w:space="1" w:sz="6" w:val="single"/>
      </w:pBdr>
      <w:tabs>
        <w:tab w:pos="4153" w:val="center"/>
        <w:tab w:pos="8306" w:val="right"/>
      </w:tabs>
      <w:snapToGrid w:val="0"/>
      <w:ind w:firstLine="0" w:firstLineChars="0"/>
      <w:jc w:val="center"/>
    </w:pPr>
    <w:rPr>
      <w:rFonts w:asciiTheme="minorHAnsi" w:cstheme="minorBidi" w:eastAsiaTheme="minorEastAsia" w:hAnsiTheme="minorHAnsi"/>
      <w:sz w:val="18"/>
      <w:szCs w:val="18"/>
    </w:rPr>
  </w:style>
  <w:style w:customStyle="1" w:styleId="Char1" w:type="character">
    <w:name w:val="页眉 Char1"/>
    <w:basedOn w:val="a0"/>
    <w:link w:val="a3"/>
    <w:uiPriority w:val="99"/>
    <w:rsid w:val="000D6D1C"/>
    <w:rPr>
      <w:sz w:val="18"/>
      <w:szCs w:val="18"/>
    </w:rPr>
  </w:style>
  <w:style w:styleId="a4" w:type="paragraph">
    <w:name w:val="footer"/>
    <w:basedOn w:val="a"/>
    <w:link w:val="Char10"/>
    <w:uiPriority w:val="99"/>
    <w:unhideWhenUsed/>
    <w:rsid w:val="000D6D1C"/>
    <w:pPr>
      <w:tabs>
        <w:tab w:pos="4153" w:val="center"/>
        <w:tab w:pos="8306" w:val="right"/>
      </w:tabs>
      <w:snapToGrid w:val="0"/>
      <w:ind w:firstLine="0" w:firstLineChars="0"/>
      <w:jc w:val="left"/>
    </w:pPr>
    <w:rPr>
      <w:rFonts w:asciiTheme="minorHAnsi" w:cstheme="minorBidi" w:eastAsiaTheme="minorEastAsia" w:hAnsiTheme="minorHAnsi"/>
      <w:sz w:val="18"/>
      <w:szCs w:val="18"/>
    </w:rPr>
  </w:style>
  <w:style w:customStyle="1" w:styleId="Char10" w:type="character">
    <w:name w:val="页脚 Char1"/>
    <w:basedOn w:val="a0"/>
    <w:link w:val="a4"/>
    <w:uiPriority w:val="99"/>
    <w:rsid w:val="000D6D1C"/>
    <w:rPr>
      <w:sz w:val="18"/>
      <w:szCs w:val="18"/>
    </w:rPr>
  </w:style>
  <w:style w:customStyle="1" w:styleId="-Char" w:type="character">
    <w:name w:val="闻政-正文段落文字 Char"/>
    <w:link w:val="-"/>
    <w:uiPriority w:val="3"/>
    <w:qFormat/>
    <w:rsid w:val="000D6D1C"/>
    <w:rPr>
      <w:rFonts w:ascii="Times New Roman" w:eastAsia="仿宋_GB2312" w:hAnsi="Times New Roman"/>
      <w:sz w:val="28"/>
      <w:szCs w:val="28"/>
    </w:rPr>
  </w:style>
  <w:style w:customStyle="1" w:styleId="-Char0" w:type="character">
    <w:name w:val="闻政-正文三级标题 Char"/>
    <w:link w:val="-0"/>
    <w:uiPriority w:val="3"/>
    <w:rsid w:val="000D6D1C"/>
    <w:rPr>
      <w:rFonts w:ascii="Times New Roman" w:eastAsia="仿宋_GB2312" w:hAnsi="Times New Roman"/>
      <w:b/>
      <w:snapToGrid w:val="0"/>
      <w:sz w:val="28"/>
      <w:szCs w:val="28"/>
    </w:rPr>
  </w:style>
  <w:style w:customStyle="1" w:styleId="Char" w:type="character">
    <w:name w:val="页脚 Char"/>
    <w:uiPriority w:val="99"/>
    <w:rsid w:val="000D6D1C"/>
    <w:rPr>
      <w:rFonts w:cs="黑体" w:eastAsia="仿宋_GB2312"/>
      <w:sz w:val="18"/>
      <w:szCs w:val="18"/>
    </w:rPr>
  </w:style>
  <w:style w:customStyle="1" w:styleId="-Char1" w:type="character">
    <w:name w:val="闻政-正文一级标题 Char"/>
    <w:link w:val="-1"/>
    <w:uiPriority w:val="3"/>
    <w:rsid w:val="000D6D1C"/>
    <w:rPr>
      <w:rFonts w:ascii="黑体" w:eastAsia="黑体" w:hAnsi="黑体"/>
      <w:bCs/>
      <w:sz w:val="32"/>
      <w:szCs w:val="32"/>
    </w:rPr>
  </w:style>
  <w:style w:customStyle="1" w:styleId="Char0" w:type="character">
    <w:name w:val="标题 Char"/>
    <w:link w:val="a5"/>
    <w:uiPriority w:val="10"/>
    <w:rsid w:val="000D6D1C"/>
    <w:rPr>
      <w:rFonts w:ascii="Cambria" w:hAnsi="Cambria"/>
      <w:b/>
      <w:bCs/>
      <w:sz w:val="32"/>
      <w:szCs w:val="32"/>
    </w:rPr>
  </w:style>
  <w:style w:customStyle="1" w:styleId="Char2" w:type="character">
    <w:name w:val="页眉 Char"/>
    <w:uiPriority w:val="99"/>
    <w:rsid w:val="000D6D1C"/>
    <w:rPr>
      <w:rFonts w:cs="黑体" w:eastAsia="仿宋_GB2312"/>
      <w:sz w:val="18"/>
      <w:szCs w:val="18"/>
    </w:rPr>
  </w:style>
  <w:style w:customStyle="1" w:styleId="-Char2" w:type="character">
    <w:name w:val="闻政-正文二级标题 Char"/>
    <w:link w:val="-2"/>
    <w:uiPriority w:val="3"/>
    <w:rsid w:val="000D6D1C"/>
    <w:rPr>
      <w:rFonts w:ascii="Times New Roman" w:eastAsia="仿宋_GB2312" w:hAnsi="Times New Roman"/>
      <w:b/>
      <w:bCs/>
      <w:sz w:val="28"/>
      <w:szCs w:val="32"/>
    </w:rPr>
  </w:style>
  <w:style w:customStyle="1" w:styleId="1Char" w:type="character">
    <w:name w:val="标题 1 Char"/>
    <w:basedOn w:val="a0"/>
    <w:link w:val="1"/>
    <w:uiPriority w:val="9"/>
    <w:rsid w:val="000D6D1C"/>
    <w:rPr>
      <w:rFonts w:ascii="Calibri" w:cs="黑体" w:eastAsia="仿宋_GB2312" w:hAnsi="Calibri"/>
      <w:b/>
      <w:bCs/>
      <w:kern w:val="44"/>
      <w:sz w:val="44"/>
      <w:szCs w:val="44"/>
    </w:rPr>
  </w:style>
  <w:style w:styleId="TOC" w:type="paragraph">
    <w:name w:val="TOC Heading"/>
    <w:basedOn w:val="1"/>
    <w:next w:val="a"/>
    <w:uiPriority w:val="39"/>
    <w:qFormat/>
    <w:rsid w:val="000D6D1C"/>
    <w:pPr>
      <w:widowControl/>
      <w:spacing w:after="0" w:before="480" w:line="276" w:lineRule="auto"/>
      <w:ind w:firstLine="0" w:firstLineChars="0"/>
      <w:jc w:val="left"/>
      <w:outlineLvl w:val="9"/>
    </w:pPr>
    <w:rPr>
      <w:rFonts w:ascii="Cambria" w:cs="Times New Roman" w:eastAsia="宋体" w:hAnsi="Cambria"/>
      <w:color w:val="365F91"/>
      <w:kern w:val="0"/>
      <w:sz w:val="28"/>
      <w:szCs w:val="28"/>
    </w:rPr>
  </w:style>
  <w:style w:customStyle="1" w:styleId="-1" w:type="paragraph">
    <w:name w:val="闻政-正文一级标题"/>
    <w:basedOn w:val="3"/>
    <w:next w:val="-"/>
    <w:link w:val="-Char1"/>
    <w:uiPriority w:val="3"/>
    <w:qFormat/>
    <w:rsid w:val="000D6D1C"/>
    <w:pPr>
      <w:spacing w:after="60" w:before="120" w:line="500" w:lineRule="exact"/>
      <w:ind w:firstLine="0" w:firstLineChars="0"/>
      <w:jc w:val="left"/>
      <w:outlineLvl w:val="0"/>
    </w:pPr>
    <w:rPr>
      <w:rFonts w:ascii="黑体" w:cstheme="minorBidi" w:eastAsia="黑体" w:hAnsi="黑体"/>
      <w:b w:val="0"/>
    </w:rPr>
  </w:style>
  <w:style w:customStyle="1" w:styleId="-" w:type="paragraph">
    <w:name w:val="闻政-正文段落文字"/>
    <w:basedOn w:val="a"/>
    <w:link w:val="-Char"/>
    <w:uiPriority w:val="3"/>
    <w:qFormat/>
    <w:rsid w:val="000D6D1C"/>
    <w:pPr>
      <w:spacing w:line="500" w:lineRule="exact"/>
      <w:ind w:firstLine="200"/>
    </w:pPr>
    <w:rPr>
      <w:rFonts w:ascii="Times New Roman" w:cstheme="minorBidi" w:hAnsi="Times New Roman"/>
      <w:szCs w:val="28"/>
    </w:rPr>
  </w:style>
  <w:style w:customStyle="1" w:styleId="-2" w:type="paragraph">
    <w:name w:val="闻政-正文二级标题"/>
    <w:basedOn w:val="2"/>
    <w:next w:val="-"/>
    <w:link w:val="-Char2"/>
    <w:uiPriority w:val="3"/>
    <w:qFormat/>
    <w:rsid w:val="000D6D1C"/>
    <w:pPr>
      <w:spacing w:after="60" w:before="120" w:line="500" w:lineRule="exact"/>
      <w:ind w:firstLine="0" w:firstLineChars="0" w:left="200" w:leftChars="200"/>
      <w:jc w:val="left"/>
    </w:pPr>
    <w:rPr>
      <w:rFonts w:ascii="Times New Roman" w:cstheme="minorBidi" w:eastAsia="仿宋_GB2312" w:hAnsi="Times New Roman"/>
      <w:sz w:val="28"/>
    </w:rPr>
  </w:style>
  <w:style w:styleId="a5" w:type="paragraph">
    <w:name w:val="Title"/>
    <w:basedOn w:val="a"/>
    <w:next w:val="a"/>
    <w:link w:val="Char0"/>
    <w:uiPriority w:val="10"/>
    <w:qFormat/>
    <w:rsid w:val="000D6D1C"/>
    <w:pPr>
      <w:spacing w:after="60" w:before="240"/>
      <w:jc w:val="center"/>
      <w:outlineLvl w:val="0"/>
    </w:pPr>
    <w:rPr>
      <w:rFonts w:ascii="Cambria" w:cstheme="minorBidi" w:eastAsiaTheme="minorEastAsia" w:hAnsi="Cambria"/>
      <w:b/>
      <w:bCs/>
      <w:sz w:val="32"/>
      <w:szCs w:val="32"/>
    </w:rPr>
  </w:style>
  <w:style w:customStyle="1" w:styleId="a6" w:type="character">
    <w:name w:val="标题 字符"/>
    <w:basedOn w:val="a0"/>
    <w:uiPriority w:val="10"/>
    <w:rsid w:val="000D6D1C"/>
    <w:rPr>
      <w:rFonts w:asciiTheme="majorHAnsi" w:cstheme="majorBidi" w:eastAsiaTheme="majorEastAsia" w:hAnsiTheme="majorHAnsi"/>
      <w:b/>
      <w:bCs/>
      <w:sz w:val="32"/>
      <w:szCs w:val="32"/>
    </w:rPr>
  </w:style>
  <w:style w:customStyle="1" w:styleId="-0" w:type="paragraph">
    <w:name w:val="闻政-正文三级标题"/>
    <w:basedOn w:val="a"/>
    <w:next w:val="-"/>
    <w:link w:val="-Char0"/>
    <w:uiPriority w:val="3"/>
    <w:qFormat/>
    <w:rsid w:val="000D6D1C"/>
    <w:pPr>
      <w:widowControl/>
      <w:spacing w:after="60" w:before="120" w:line="500" w:lineRule="exact"/>
      <w:ind w:firstLine="0" w:firstLineChars="0" w:left="200" w:leftChars="200"/>
    </w:pPr>
    <w:rPr>
      <w:rFonts w:ascii="Times New Roman" w:cstheme="minorBidi" w:hAnsi="Times New Roman"/>
      <w:b/>
      <w:snapToGrid w:val="0"/>
      <w:szCs w:val="28"/>
    </w:rPr>
  </w:style>
  <w:style w:customStyle="1" w:styleId="3Char" w:type="character">
    <w:name w:val="标题 3 Char"/>
    <w:basedOn w:val="a0"/>
    <w:link w:val="3"/>
    <w:uiPriority w:val="9"/>
    <w:semiHidden/>
    <w:rsid w:val="000D6D1C"/>
    <w:rPr>
      <w:rFonts w:ascii="Calibri" w:cs="黑体" w:eastAsia="仿宋_GB2312" w:hAnsi="Calibri"/>
      <w:b/>
      <w:bCs/>
      <w:sz w:val="32"/>
      <w:szCs w:val="32"/>
    </w:rPr>
  </w:style>
  <w:style w:customStyle="1" w:styleId="2Char" w:type="character">
    <w:name w:val="标题 2 Char"/>
    <w:basedOn w:val="a0"/>
    <w:link w:val="2"/>
    <w:uiPriority w:val="9"/>
    <w:semiHidden/>
    <w:rsid w:val="000D6D1C"/>
    <w:rPr>
      <w:rFonts w:asciiTheme="majorHAnsi" w:cstheme="majorBidi" w:eastAsiaTheme="majorEastAsia" w:hAnsiTheme="maj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header4.xml" Type="http://schemas.openxmlformats.org/officeDocument/2006/relationships/header"/><Relationship Id="rId14" Target="header5.xml" Type="http://schemas.openxmlformats.org/officeDocument/2006/relationships/header"/><Relationship Id="rId15" Target="footer4.xml" Type="http://schemas.openxmlformats.org/officeDocument/2006/relationships/footer"/><Relationship Id="rId16" Target="footer5.xml" Type="http://schemas.openxmlformats.org/officeDocument/2006/relationships/footer"/><Relationship Id="rId17" Target="header6.xml" Type="http://schemas.openxmlformats.org/officeDocument/2006/relationships/header"/><Relationship Id="rId18" Target="footer6.xml" Type="http://schemas.openxmlformats.org/officeDocument/2006/relationships/footer"/><Relationship Id="rId19" Target="fontTable.xml" Type="http://schemas.openxmlformats.org/officeDocument/2006/relationships/fontTable"/><Relationship Id="rId2" Target="styles.xml" Type="http://schemas.openxmlformats.org/officeDocument/2006/relationships/styles"/><Relationship Id="rId20" Target="theme/theme1.xml" Type="http://schemas.openxmlformats.org/officeDocument/2006/relationships/theme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4BB1-235E-47DA-9B3D-30B82BF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2020-12-10T04:14:00Z</dcterms:created>
  <dc:creator>志闯 赵</dc:creator>
  <cp:lastModifiedBy>Windows 用户</cp:lastModifiedBy>
  <dcterms:modified xsi:type="dcterms:W3CDTF">2023-03-28T06:33:00Z</dcterms:modified>
  <cp:revision>37</cp:revision>
</cp:coreProperties>
</file>